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D159" w14:textId="77777777" w:rsidR="00A31A04" w:rsidRDefault="006D3CDB" w:rsidP="00E20B7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D3CD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Supplementary material</w:t>
      </w:r>
    </w:p>
    <w:p w14:paraId="3221F2BE" w14:textId="1E2FBEBC" w:rsidR="00E20B73" w:rsidRDefault="00E20B73" w:rsidP="00E20B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533DFE" w14:textId="67A9D014" w:rsidR="00E20B73" w:rsidRDefault="00E20B73" w:rsidP="00E20B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8A07098" w14:textId="3E0C758C" w:rsidR="00E20B73" w:rsidRDefault="00E20B73" w:rsidP="00E20B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065F49" w14:textId="77777777" w:rsidR="00E20B73" w:rsidRDefault="00E20B73" w:rsidP="00E20B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642D620" w14:textId="77777777" w:rsidR="00E20B73" w:rsidRDefault="00E20B73" w:rsidP="00E20B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BF26B2" w14:textId="20A064F3" w:rsidR="00E20B73" w:rsidRDefault="00E20B73" w:rsidP="00E20B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4D8DDA" w14:textId="6E47BA49" w:rsidR="00606B47" w:rsidRDefault="00606B47" w:rsidP="00E20B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C27768" w14:textId="77777777" w:rsidR="00606B47" w:rsidRDefault="00606B47" w:rsidP="00E20B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76E85F" w14:textId="3DBD3D02" w:rsidR="00E20B73" w:rsidRDefault="00E20B73" w:rsidP="00E20B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571A01" w14:textId="09B9F27D" w:rsidR="00E20B73" w:rsidRPr="00E20B73" w:rsidRDefault="00E20B73" w:rsidP="00E20B73">
      <w:pPr>
        <w:pStyle w:val="MTitel"/>
        <w:jc w:val="both"/>
        <w:rPr>
          <w:rFonts w:eastAsia="SimSun"/>
          <w:b w:val="0"/>
          <w:bCs/>
          <w:lang w:eastAsia="zh-CN"/>
        </w:rPr>
      </w:pPr>
      <w:r w:rsidRPr="00E20B73">
        <w:rPr>
          <w:rStyle w:val="IOPTitleChar"/>
          <w:rFonts w:ascii="Times New Roman" w:hAnsi="Times New Roman"/>
          <w:b/>
          <w:bCs/>
        </w:rPr>
        <w:t>Defect passivation and electrical conductivity enhancement in perovskite solar cells using functionalized graphene quantum dots</w:t>
      </w:r>
    </w:p>
    <w:p w14:paraId="638D96FE" w14:textId="77777777" w:rsidR="00E20B73" w:rsidRPr="000D07CD" w:rsidRDefault="00E20B73" w:rsidP="00E20B73">
      <w:pPr>
        <w:pStyle w:val="Mauthor"/>
        <w:spacing w:line="240" w:lineRule="auto"/>
        <w:jc w:val="both"/>
      </w:pPr>
      <w:r w:rsidRPr="00341483">
        <w:t>Yichuan Rui</w:t>
      </w:r>
      <w:r>
        <w:rPr>
          <w:vertAlign w:val="superscript"/>
        </w:rPr>
        <w:t>1</w:t>
      </w:r>
      <w:r w:rsidRPr="00341483">
        <w:rPr>
          <w:vertAlign w:val="superscript"/>
        </w:rPr>
        <w:t>,</w:t>
      </w:r>
      <w:r w:rsidRPr="00341483">
        <w:t>*, Zuoming Jin</w:t>
      </w:r>
      <w:r w:rsidRPr="00341483">
        <w:rPr>
          <w:vertAlign w:val="superscript"/>
        </w:rPr>
        <w:t>1</w:t>
      </w:r>
      <w:r w:rsidRPr="00341483">
        <w:t>, Xinyi Fan</w:t>
      </w:r>
      <w:r w:rsidRPr="00341483">
        <w:rPr>
          <w:vertAlign w:val="superscript"/>
        </w:rPr>
        <w:t>1</w:t>
      </w:r>
      <w:r w:rsidRPr="00341483">
        <w:t>, Weitao Li</w:t>
      </w:r>
      <w:r w:rsidRPr="00341483">
        <w:rPr>
          <w:vertAlign w:val="superscript"/>
        </w:rPr>
        <w:t>2</w:t>
      </w:r>
      <w:r w:rsidRPr="00341483">
        <w:t>, Bin Li</w:t>
      </w:r>
      <w:r w:rsidRPr="00341483">
        <w:rPr>
          <w:vertAlign w:val="superscript"/>
        </w:rPr>
        <w:t>1</w:t>
      </w:r>
      <w:r w:rsidRPr="00341483">
        <w:t>, Tianpeng Li</w:t>
      </w:r>
      <w:r w:rsidRPr="00341483">
        <w:rPr>
          <w:vertAlign w:val="superscript"/>
        </w:rPr>
        <w:t>1,3</w:t>
      </w:r>
      <w:r w:rsidRPr="00341483">
        <w:t>, Yuanqiang Wang</w:t>
      </w:r>
      <w:r w:rsidRPr="00341483">
        <w:rPr>
          <w:vertAlign w:val="superscript"/>
        </w:rPr>
        <w:t>1</w:t>
      </w:r>
      <w:r w:rsidRPr="00341483">
        <w:t>, Liang Wang</w:t>
      </w:r>
      <w:r w:rsidRPr="00341483">
        <w:rPr>
          <w:vertAlign w:val="superscript"/>
        </w:rPr>
        <w:t>2,</w:t>
      </w:r>
      <w:r w:rsidRPr="00341483">
        <w:t>* Jia Liang</w:t>
      </w:r>
      <w:r w:rsidRPr="00341483">
        <w:rPr>
          <w:vertAlign w:val="superscript"/>
        </w:rPr>
        <w:t>3,</w:t>
      </w:r>
      <w:r w:rsidRPr="00341483">
        <w:t>*</w:t>
      </w:r>
    </w:p>
    <w:p w14:paraId="49E66737" w14:textId="77777777" w:rsidR="00E20B73" w:rsidRPr="000D07CD" w:rsidRDefault="00E20B73" w:rsidP="00E20B73">
      <w:pPr>
        <w:pStyle w:val="Maddress"/>
        <w:spacing w:before="0"/>
        <w:ind w:left="284" w:hanging="284"/>
        <w:jc w:val="both"/>
      </w:pPr>
      <w:r w:rsidRPr="000D07CD">
        <w:rPr>
          <w:vertAlign w:val="superscript"/>
        </w:rPr>
        <w:t>1</w:t>
      </w:r>
      <w:r w:rsidRPr="000D07CD">
        <w:tab/>
      </w:r>
      <w:r w:rsidRPr="00341483">
        <w:t>College of Chemistry and Chemical Engineering, Shanghai University of engineering Science, Shanghai 201620, China.</w:t>
      </w:r>
    </w:p>
    <w:p w14:paraId="271273C3" w14:textId="77777777" w:rsidR="00E20B73" w:rsidRDefault="00E20B73" w:rsidP="00E20B73">
      <w:pPr>
        <w:pStyle w:val="Maddress"/>
        <w:spacing w:before="0"/>
        <w:ind w:left="284" w:hanging="284"/>
        <w:jc w:val="both"/>
      </w:pPr>
      <w:r w:rsidRPr="000D07CD">
        <w:rPr>
          <w:vertAlign w:val="superscript"/>
        </w:rPr>
        <w:t>2</w:t>
      </w:r>
      <w:r w:rsidRPr="000D07CD">
        <w:rPr>
          <w:vertAlign w:val="superscript"/>
        </w:rPr>
        <w:tab/>
      </w:r>
      <w:r w:rsidRPr="00341483">
        <w:t xml:space="preserve">Institute of </w:t>
      </w:r>
      <w:proofErr w:type="spellStart"/>
      <w:r w:rsidRPr="00341483">
        <w:t>Nanochemistry</w:t>
      </w:r>
      <w:proofErr w:type="spellEnd"/>
      <w:r w:rsidRPr="00341483">
        <w:t xml:space="preserve"> and Nanobiology, School of Environmental and Chemical Engineering, Shanghai University, Shanghai 200444, China.</w:t>
      </w:r>
    </w:p>
    <w:p w14:paraId="09EFBDF6" w14:textId="77777777" w:rsidR="00E20B73" w:rsidRPr="006E56EB" w:rsidRDefault="00E20B73" w:rsidP="00E20B73">
      <w:pPr>
        <w:pStyle w:val="Maddress"/>
        <w:spacing w:before="0"/>
        <w:ind w:left="284" w:hanging="284"/>
        <w:jc w:val="both"/>
      </w:pPr>
      <w:r>
        <w:rPr>
          <w:vertAlign w:val="superscript"/>
        </w:rPr>
        <w:t>3</w:t>
      </w:r>
      <w:r w:rsidRPr="000D07CD">
        <w:rPr>
          <w:vertAlign w:val="superscript"/>
        </w:rPr>
        <w:tab/>
      </w:r>
      <w:r w:rsidRPr="00341483">
        <w:t>Department of Materials Science, Fudan University, 220 Handan Road, Shanghai 200433, China</w:t>
      </w:r>
    </w:p>
    <w:p w14:paraId="1FDA4DEB" w14:textId="77777777" w:rsidR="00E20B73" w:rsidRPr="00E20B73" w:rsidRDefault="00E20B73" w:rsidP="00E20B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EAFDC0" w14:textId="5B6A36A4" w:rsidR="00E20B73" w:rsidRDefault="00E20B73" w:rsidP="00C63473">
      <w:pPr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E159D44" w14:textId="77777777" w:rsidR="00CA30A3" w:rsidRDefault="00CA30A3" w:rsidP="00CA30A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15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Characterization. </w:t>
      </w:r>
      <w:r w:rsidRPr="004E3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Field emission scanning electron microscope (FESEM, Model SU8010, Hitachi) was used to perform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perovskite films and </w:t>
      </w:r>
      <w:r w:rsidRPr="004E3F4F">
        <w:rPr>
          <w:rFonts w:ascii="Times New Roman" w:hAnsi="Times New Roman" w:cs="Times New Roman"/>
          <w:color w:val="000000" w:themeColor="text1"/>
          <w:sz w:val="24"/>
          <w:szCs w:val="24"/>
        </w:rPr>
        <w:t>device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E3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morphological properties. </w:t>
      </w:r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>PL spectra of GQDs in different excitation wavelengths was measur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FS-5 spectrophotometer (URT210-C, Edinburgh). X-ray photoelectron spectroscopy (XPS) was applied by </w:t>
      </w:r>
      <w:proofErr w:type="spellStart"/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>Escalab</w:t>
      </w:r>
      <w:proofErr w:type="spellEnd"/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250 Xi. The </w:t>
      </w:r>
      <w:r w:rsidRPr="0082637A">
        <w:rPr>
          <w:rFonts w:ascii="Times New Roman" w:hAnsi="Times New Roman" w:cs="Times New Roman"/>
          <w:color w:val="000000" w:themeColor="text1"/>
          <w:sz w:val="24"/>
          <w:szCs w:val="24"/>
        </w:rPr>
        <w:t>Confocal laser scanning microscope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(CLSM)</w:t>
      </w:r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carried out with Leica TCS SP5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 w:rsidRPr="00867D13">
        <w:rPr>
          <w:rFonts w:ascii="Times New Roman" w:hAnsi="Times New Roman" w:cs="Times New Roman"/>
          <w:sz w:val="24"/>
          <w:szCs w:val="24"/>
        </w:rPr>
        <w:t xml:space="preserve"> excitation wavelength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 w:rsidRPr="00867D13">
        <w:rPr>
          <w:rFonts w:ascii="Times New Roman" w:hAnsi="Times New Roman" w:cs="Times New Roman"/>
          <w:sz w:val="24"/>
          <w:szCs w:val="24"/>
        </w:rPr>
        <w:t xml:space="preserve"> 458 nm.</w:t>
      </w:r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Steady state</w:t>
      </w:r>
      <w:r w:rsidRPr="004D678B">
        <w:rPr>
          <w:rFonts w:ascii="Times New Roman" w:hAnsi="Times New Roman" w:cs="Times New Roman"/>
          <w:color w:val="000000" w:themeColor="text1"/>
        </w:rPr>
        <w:t xml:space="preserve"> </w:t>
      </w:r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photoluminescence (PL) spectra and time-resolved photoluminescence (TRPL) spectra were measured at 480 nm excitation wavelength with FLS920 transient optical spectrometer (Edinburgh Instruments, UK). </w:t>
      </w:r>
      <w:r>
        <w:rPr>
          <w:rFonts w:ascii="Times New Roman" w:hAnsi="Times New Roman" w:cs="Times New Roman"/>
          <w:sz w:val="24"/>
        </w:rPr>
        <w:t>Thermalgravimetric</w:t>
      </w:r>
      <w:r w:rsidRPr="000F66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analysis </w:t>
      </w:r>
      <w:r w:rsidRPr="000F6651">
        <w:rPr>
          <w:rFonts w:ascii="Times New Roman" w:hAnsi="Times New Roman" w:cs="Times New Roman"/>
          <w:sz w:val="24"/>
        </w:rPr>
        <w:t>(TG</w:t>
      </w:r>
      <w:r>
        <w:rPr>
          <w:rFonts w:ascii="Times New Roman" w:hAnsi="Times New Roman" w:cs="Times New Roman"/>
          <w:sz w:val="24"/>
        </w:rPr>
        <w:t>A)</w:t>
      </w:r>
      <w:r w:rsidRPr="000F6651">
        <w:rPr>
          <w:rFonts w:ascii="Times New Roman" w:hAnsi="Times New Roman" w:cs="Times New Roman"/>
          <w:sz w:val="24"/>
        </w:rPr>
        <w:t xml:space="preserve"> of the </w:t>
      </w:r>
      <w:r>
        <w:rPr>
          <w:rFonts w:ascii="Times New Roman" w:hAnsi="Times New Roman" w:cs="Times New Roman"/>
          <w:sz w:val="24"/>
        </w:rPr>
        <w:t>perovskite films</w:t>
      </w:r>
      <w:r w:rsidRPr="000F6651">
        <w:rPr>
          <w:rFonts w:ascii="Times New Roman" w:hAnsi="Times New Roman" w:cs="Times New Roman"/>
          <w:sz w:val="24"/>
        </w:rPr>
        <w:t xml:space="preserve"> w</w:t>
      </w:r>
      <w:r>
        <w:rPr>
          <w:rFonts w:ascii="Times New Roman" w:hAnsi="Times New Roman" w:cs="Times New Roman"/>
          <w:sz w:val="24"/>
        </w:rPr>
        <w:t>ere</w:t>
      </w:r>
      <w:r w:rsidRPr="000F6651">
        <w:rPr>
          <w:rFonts w:ascii="Times New Roman" w:hAnsi="Times New Roman" w:cs="Times New Roman"/>
          <w:sz w:val="24"/>
        </w:rPr>
        <w:t xml:space="preserve"> carried out on a NETZSCH STA449C thermal analyzer.</w:t>
      </w:r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Simulated sunlight was provided by Model 96160 Newport company and the light intensity was adjusted to 100 </w:t>
      </w:r>
      <w:proofErr w:type="spellStart"/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>mW</w:t>
      </w:r>
      <w:proofErr w:type="spellEnd"/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Pr="00AE701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</w:t>
      </w:r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 NREL-calibrated silicon solar cell. Photocurrent density-voltage (</w:t>
      </w:r>
      <w:r w:rsidRPr="00853A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J-V</w:t>
      </w:r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>) curves of the perovskite solar cells were performed by using Keithley 2400 Source Meter. The incident-photon-to-current conversion efficiency (IPCE) spectra were obtained and the wavelength was set from 3</w:t>
      </w:r>
      <w:r w:rsidRPr="004D6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</w:t>
      </w:r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to </w:t>
      </w:r>
      <w:r w:rsidRPr="004D6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9</w:t>
      </w:r>
      <w:r w:rsidRPr="004D678B">
        <w:rPr>
          <w:rFonts w:ascii="Times New Roman" w:hAnsi="Times New Roman" w:cs="Times New Roman"/>
          <w:color w:val="000000" w:themeColor="text1"/>
          <w:sz w:val="24"/>
          <w:szCs w:val="24"/>
        </w:rPr>
        <w:t>00 nm (Newport)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701D">
        <w:rPr>
          <w:rFonts w:ascii="Times New Roman" w:hAnsi="Times New Roman" w:cs="Times New Roman"/>
          <w:color w:val="000000" w:themeColor="text1"/>
          <w:sz w:val="24"/>
          <w:szCs w:val="24"/>
        </w:rPr>
        <w:t>Electrochemical impedance spectroscopy (EIS) was performed using Zahner-</w:t>
      </w:r>
      <w:proofErr w:type="spellStart"/>
      <w:r w:rsidRPr="00AE701D">
        <w:rPr>
          <w:rFonts w:ascii="Times New Roman" w:hAnsi="Times New Roman" w:cs="Times New Roman"/>
          <w:color w:val="000000" w:themeColor="text1"/>
          <w:sz w:val="24"/>
          <w:szCs w:val="24"/>
        </w:rPr>
        <w:t>elecktrik</w:t>
      </w:r>
      <w:proofErr w:type="spellEnd"/>
      <w:r w:rsidRPr="00AE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analyzer (Germany) at bias of 0.9 V and frequency range of 100 </w:t>
      </w:r>
      <w:proofErr w:type="spellStart"/>
      <w:r w:rsidRPr="00AE701D">
        <w:rPr>
          <w:rFonts w:ascii="Times New Roman" w:hAnsi="Times New Roman" w:cs="Times New Roman"/>
          <w:color w:val="000000" w:themeColor="text1"/>
          <w:sz w:val="24"/>
          <w:szCs w:val="24"/>
        </w:rPr>
        <w:t>mHz</w:t>
      </w:r>
      <w:proofErr w:type="spellEnd"/>
      <w:r w:rsidRPr="00AE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100 kHz under dark condition.</w:t>
      </w:r>
    </w:p>
    <w:p w14:paraId="70F799CA" w14:textId="65D3CDD8" w:rsidR="00CA30A3" w:rsidRDefault="00E20B73" w:rsidP="00CA30A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A277067" w14:textId="77777777" w:rsidR="008C7BD8" w:rsidRDefault="003A221B" w:rsidP="000D45DB">
      <w:pPr>
        <w:ind w:firstLine="4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21B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8C0BA71" wp14:editId="1E014CE6">
            <wp:extent cx="2775306" cy="2272665"/>
            <wp:effectExtent l="0" t="0" r="6350" b="0"/>
            <wp:docPr id="5" name="图片 5" descr="F:\20-学生\范心怡\量子点修饰钙钛矿文章\量子点文章图---5月重画\Figure s1--pinghetuceng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-学生\范心怡\量子点修饰钙钛矿文章\量子点文章图---5月重画\Figure s1--pinghetuceng-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15" cy="22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1642" w14:textId="77777777" w:rsidR="008C7BD8" w:rsidRPr="008C7BD8" w:rsidRDefault="00446E05" w:rsidP="00DA63E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B73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Figure</w:t>
      </w:r>
      <w:r w:rsidR="000D45DB" w:rsidRPr="00E20B73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S1</w:t>
      </w:r>
      <w:r w:rsidR="008C7BD8" w:rsidRPr="00E36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OLE_LINK41"/>
      <w:bookmarkStart w:id="1" w:name="OLE_LINK44"/>
      <w:r w:rsidR="008C7BD8" w:rsidRPr="00E36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 spectra of GQDs </w:t>
      </w:r>
      <w:r w:rsidR="008C7BD8" w:rsidRPr="00E362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under</w:t>
      </w:r>
      <w:r w:rsidR="008C7BD8" w:rsidRPr="00E36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3EF">
        <w:rPr>
          <w:rFonts w:ascii="Times New Roman" w:hAnsi="Times New Roman" w:cs="Times New Roman"/>
          <w:color w:val="000000" w:themeColor="text1"/>
          <w:sz w:val="24"/>
          <w:szCs w:val="24"/>
        </w:rPr>
        <w:t>different excitation wavelength</w:t>
      </w:r>
      <w:r w:rsidR="008C7BD8" w:rsidRPr="00E36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  <w:bookmarkEnd w:id="1"/>
    </w:p>
    <w:p w14:paraId="3232989A" w14:textId="77777777" w:rsidR="000D45DB" w:rsidRPr="003428F9" w:rsidRDefault="000D45DB" w:rsidP="00DA63EF">
      <w:pPr>
        <w:spacing w:line="360" w:lineRule="auto"/>
      </w:pPr>
    </w:p>
    <w:p w14:paraId="4550D7F3" w14:textId="497968B5" w:rsidR="006B401C" w:rsidRPr="000D45DB" w:rsidRDefault="00E20B73" w:rsidP="00DA63EF">
      <w:pPr>
        <w:spacing w:line="360" w:lineRule="auto"/>
      </w:pPr>
      <w:r>
        <w:br w:type="page"/>
      </w:r>
    </w:p>
    <w:p w14:paraId="74FBE85B" w14:textId="77777777" w:rsidR="003428F9" w:rsidRDefault="003428F9" w:rsidP="00DA63EF">
      <w:pPr>
        <w:spacing w:line="360" w:lineRule="auto"/>
        <w:ind w:firstLine="42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lastRenderedPageBreak/>
        <w:drawing>
          <wp:inline distT="0" distB="0" distL="0" distR="0" wp14:anchorId="108E0068" wp14:editId="446DA40B">
            <wp:extent cx="3409314" cy="2529205"/>
            <wp:effectExtent l="0" t="0" r="1270" b="4445"/>
            <wp:docPr id="2" name="图片 2" descr="F:\20-学生\范心怡\量子点修饰钙钛矿文章\量子点数据--王亮\红外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-学生\范心怡\量子点修饰钙钛矿文章\量子点数据--王亮\红外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8"/>
                    <a:stretch/>
                  </pic:blipFill>
                  <pic:spPr bwMode="auto">
                    <a:xfrm>
                      <a:off x="0" y="0"/>
                      <a:ext cx="3420683" cy="253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DEF61" w14:textId="77777777" w:rsidR="003428F9" w:rsidRDefault="00446E05" w:rsidP="00DA63EF">
      <w:pPr>
        <w:spacing w:line="360" w:lineRule="auto"/>
        <w:ind w:firstLine="420"/>
        <w:jc w:val="center"/>
      </w:pPr>
      <w:r w:rsidRPr="00E20B73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Figure</w:t>
      </w:r>
      <w:r w:rsidR="005175D8" w:rsidRPr="00E20B73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S</w:t>
      </w:r>
      <w:r w:rsidR="000D45DB" w:rsidRPr="00E20B73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2</w:t>
      </w:r>
      <w:r w:rsidR="005175D8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A023A" w:rsidRPr="00571D1E">
        <w:rPr>
          <w:rFonts w:ascii="Times New Roman" w:hAnsi="Times New Roman" w:cs="Times New Roman"/>
          <w:color w:val="000000"/>
          <w:sz w:val="24"/>
          <w:szCs w:val="24"/>
        </w:rPr>
        <w:t>Fourier transform</w:t>
      </w:r>
      <w:r w:rsidR="00CA023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A023A" w:rsidRPr="00837114">
        <w:rPr>
          <w:rFonts w:ascii="Times New Roman" w:hAnsi="Times New Roman" w:cs="Times New Roman"/>
          <w:color w:val="000000"/>
          <w:sz w:val="24"/>
          <w:szCs w:val="24"/>
        </w:rPr>
        <w:t>infrared</w:t>
      </w:r>
      <w:r w:rsidR="00CA023A" w:rsidRPr="00571D1E">
        <w:rPr>
          <w:rFonts w:ascii="Times New Roman" w:hAnsi="Times New Roman" w:cs="Times New Roman"/>
          <w:color w:val="000000"/>
          <w:sz w:val="24"/>
          <w:szCs w:val="24"/>
        </w:rPr>
        <w:t xml:space="preserve"> (FT-IR</w:t>
      </w:r>
      <w:r w:rsidR="00CA023A" w:rsidRPr="00712C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A0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23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spectrum of the dried GQDs </w:t>
      </w:r>
      <w:r w:rsidR="00CA023A">
        <w:rPr>
          <w:rFonts w:ascii="Times New Roman" w:hAnsi="Times New Roman" w:cs="Times New Roman"/>
          <w:color w:val="000000"/>
          <w:sz w:val="24"/>
          <w:szCs w:val="24"/>
        </w:rPr>
        <w:t>powder.</w:t>
      </w:r>
    </w:p>
    <w:p w14:paraId="54A5540C" w14:textId="77777777" w:rsidR="00A31A04" w:rsidRDefault="00A31A04" w:rsidP="00DA63EF">
      <w:pPr>
        <w:spacing w:line="360" w:lineRule="auto"/>
        <w:jc w:val="center"/>
      </w:pPr>
    </w:p>
    <w:p w14:paraId="0BBDA125" w14:textId="04DBB76D" w:rsidR="003C4F0D" w:rsidRPr="00A31A04" w:rsidRDefault="00E20B73" w:rsidP="00E20B73">
      <w:pPr>
        <w:spacing w:line="360" w:lineRule="auto"/>
        <w:jc w:val="center"/>
      </w:pPr>
      <w:r>
        <w:br w:type="page"/>
      </w:r>
    </w:p>
    <w:p w14:paraId="53C10E69" w14:textId="77777777" w:rsidR="00525B70" w:rsidRPr="00A81286" w:rsidRDefault="00525B70" w:rsidP="00525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olor w:val="000000"/>
          <w:kern w:val="0"/>
          <w:szCs w:val="21"/>
        </w:rPr>
      </w:pPr>
      <w:r w:rsidRPr="00A81286">
        <w:rPr>
          <w:rFonts w:ascii="Times New Roman" w:eastAsia="SimSun" w:hAnsi="Times New Roman" w:cs="Times New Roman"/>
          <w:noProof/>
          <w:color w:val="000000"/>
          <w:kern w:val="0"/>
          <w:szCs w:val="21"/>
        </w:rPr>
        <w:lastRenderedPageBreak/>
        <w:drawing>
          <wp:inline distT="0" distB="0" distL="0" distR="0" wp14:anchorId="6FD2CA3D" wp14:editId="38FD9A38">
            <wp:extent cx="2943225" cy="2209054"/>
            <wp:effectExtent l="0" t="0" r="0" b="1270"/>
            <wp:docPr id="4" name="图片 4" descr="F:\20-学生\范心怡\量子点修饰钙钛矿文章\量子点文章图---5月重画\GQD-PVK SEM--9.28补\0.05_i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-学生\范心怡\量子点修饰钙钛矿文章\量子点文章图---5月重画\GQD-PVK SEM--9.28补\0.05_i00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55" cy="221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2B411" w14:textId="7412229E" w:rsidR="00525B70" w:rsidRPr="00525B70" w:rsidRDefault="00525B70" w:rsidP="00525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FF0000"/>
          <w:szCs w:val="21"/>
        </w:rPr>
      </w:pPr>
      <w:r w:rsidRPr="00525B70">
        <w:rPr>
          <w:rFonts w:ascii="Times New Roman" w:hAnsi="Times New Roman" w:cs="Times New Roman"/>
          <w:b/>
          <w:bCs/>
          <w:color w:val="FF0000"/>
          <w:szCs w:val="21"/>
        </w:rPr>
        <w:t>Figure S3</w:t>
      </w:r>
      <w:r w:rsidRPr="00525B70">
        <w:rPr>
          <w:rFonts w:ascii="Times New Roman" w:hAnsi="Times New Roman" w:cs="Times New Roman"/>
          <w:color w:val="FF0000"/>
          <w:szCs w:val="21"/>
        </w:rPr>
        <w:t xml:space="preserve"> Top-view SEM image of the MAPbI</w:t>
      </w:r>
      <w:r w:rsidRPr="00525B70">
        <w:rPr>
          <w:rFonts w:ascii="Times New Roman" w:hAnsi="Times New Roman" w:cs="Times New Roman"/>
          <w:color w:val="FF0000"/>
          <w:szCs w:val="21"/>
          <w:vertAlign w:val="subscript"/>
        </w:rPr>
        <w:t>3</w:t>
      </w:r>
      <w:r w:rsidRPr="00525B70">
        <w:rPr>
          <w:rFonts w:ascii="Times New Roman" w:hAnsi="Times New Roman" w:cs="Times New Roman"/>
          <w:color w:val="FF0000"/>
          <w:szCs w:val="21"/>
        </w:rPr>
        <w:t>/0.1GQDs perovskite film.</w:t>
      </w:r>
    </w:p>
    <w:p w14:paraId="76C70427" w14:textId="4BF736A4" w:rsidR="00525B70" w:rsidRDefault="00525B70" w:rsidP="00525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Cs w:val="21"/>
        </w:rPr>
      </w:pPr>
    </w:p>
    <w:p w14:paraId="65F80FC3" w14:textId="7881920A" w:rsidR="00525B70" w:rsidRDefault="00525B70" w:rsidP="00525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Cs w:val="21"/>
        </w:rPr>
      </w:pPr>
    </w:p>
    <w:p w14:paraId="1DCC808C" w14:textId="77777777" w:rsidR="00525B70" w:rsidRPr="00A81286" w:rsidRDefault="00525B70" w:rsidP="00525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olor w:val="000000"/>
          <w:kern w:val="0"/>
          <w:szCs w:val="21"/>
        </w:rPr>
      </w:pPr>
    </w:p>
    <w:p w14:paraId="40F4ACBA" w14:textId="57C15953" w:rsidR="00525B70" w:rsidRDefault="00525B70" w:rsidP="00FF0D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olor w:val="000000"/>
          <w:kern w:val="0"/>
          <w:szCs w:val="21"/>
        </w:rPr>
      </w:pPr>
      <w:r>
        <w:rPr>
          <w:rFonts w:ascii="Times New Roman" w:eastAsia="SimSun" w:hAnsi="Times New Roman" w:cs="Times New Roman"/>
          <w:color w:val="000000"/>
          <w:kern w:val="0"/>
          <w:szCs w:val="21"/>
        </w:rPr>
        <w:br w:type="page"/>
      </w:r>
    </w:p>
    <w:p w14:paraId="1988B336" w14:textId="0887131B" w:rsidR="00FF0DF4" w:rsidRPr="00A81286" w:rsidRDefault="00FF0DF4" w:rsidP="00FF0D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olor w:val="000000"/>
          <w:kern w:val="0"/>
          <w:szCs w:val="21"/>
        </w:rPr>
      </w:pPr>
      <w:r w:rsidRPr="00A81286">
        <w:rPr>
          <w:rFonts w:ascii="Times New Roman" w:eastAsia="SimSun" w:hAnsi="Times New Roman" w:cs="Times New Roman"/>
          <w:noProof/>
          <w:color w:val="000000"/>
          <w:kern w:val="0"/>
          <w:szCs w:val="21"/>
        </w:rPr>
        <w:lastRenderedPageBreak/>
        <w:drawing>
          <wp:inline distT="0" distB="0" distL="0" distR="0" wp14:anchorId="0F359DA2" wp14:editId="4760DFE8">
            <wp:extent cx="3741393" cy="2667000"/>
            <wp:effectExtent l="0" t="0" r="0" b="0"/>
            <wp:docPr id="3" name="图片 3" descr="F:\20-学生\范心怡\量子点修饰钙钛矿文章\数据-\PCE\PCE - 0.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-学生\范心怡\量子点修饰钙钛矿文章\数据-\PCE\PCE - 0.00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1"/>
                    <a:stretch/>
                  </pic:blipFill>
                  <pic:spPr bwMode="auto">
                    <a:xfrm>
                      <a:off x="0" y="0"/>
                      <a:ext cx="3760374" cy="26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FDF48" w14:textId="77777777" w:rsidR="00FF0DF4" w:rsidRPr="00FF0DF4" w:rsidRDefault="00FF0DF4" w:rsidP="00FF0D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olor w:val="FF0000"/>
          <w:kern w:val="0"/>
          <w:szCs w:val="21"/>
        </w:rPr>
      </w:pPr>
      <w:r w:rsidRPr="00FF0DF4">
        <w:rPr>
          <w:rFonts w:ascii="Times New Roman" w:hAnsi="Times New Roman" w:cs="Times New Roman"/>
          <w:b/>
          <w:iCs/>
          <w:color w:val="FF0000"/>
          <w:szCs w:val="21"/>
        </w:rPr>
        <w:t>Figure S4</w:t>
      </w:r>
      <w:r w:rsidRPr="00FF0DF4">
        <w:rPr>
          <w:rFonts w:ascii="Times New Roman" w:hAnsi="Times New Roman" w:cs="Times New Roman"/>
          <w:i/>
          <w:iCs/>
          <w:color w:val="FF0000"/>
          <w:szCs w:val="21"/>
        </w:rPr>
        <w:t xml:space="preserve"> J–V</w:t>
      </w:r>
      <w:r w:rsidRPr="00FF0DF4">
        <w:rPr>
          <w:rFonts w:ascii="Times New Roman" w:hAnsi="Times New Roman" w:cs="Times New Roman"/>
          <w:color w:val="FF0000"/>
          <w:szCs w:val="21"/>
        </w:rPr>
        <w:t xml:space="preserve"> curve of the PSCs based on the MAPbI</w:t>
      </w:r>
      <w:r w:rsidRPr="00FF0DF4">
        <w:rPr>
          <w:rFonts w:ascii="Times New Roman" w:hAnsi="Times New Roman" w:cs="Times New Roman"/>
          <w:color w:val="FF0000"/>
          <w:szCs w:val="21"/>
          <w:vertAlign w:val="subscript"/>
        </w:rPr>
        <w:t>3</w:t>
      </w:r>
      <w:r w:rsidRPr="00FF0DF4">
        <w:rPr>
          <w:rFonts w:ascii="Times New Roman" w:hAnsi="Times New Roman" w:cs="Times New Roman"/>
          <w:color w:val="FF0000"/>
          <w:szCs w:val="21"/>
        </w:rPr>
        <w:t>/0.0005 GQDs.</w:t>
      </w:r>
    </w:p>
    <w:p w14:paraId="77E34D31" w14:textId="737C2FF3" w:rsidR="00FF0DF4" w:rsidRDefault="00FF0DF4" w:rsidP="00DA63EF">
      <w:pPr>
        <w:spacing w:line="360" w:lineRule="auto"/>
        <w:jc w:val="center"/>
      </w:pPr>
    </w:p>
    <w:p w14:paraId="7E488322" w14:textId="3EDBAFB4" w:rsidR="00FF0DF4" w:rsidRDefault="00FF0DF4" w:rsidP="00DA63EF">
      <w:pPr>
        <w:spacing w:line="360" w:lineRule="auto"/>
        <w:jc w:val="center"/>
      </w:pPr>
    </w:p>
    <w:p w14:paraId="22CC30AD" w14:textId="5ECF2B33" w:rsidR="00FF0DF4" w:rsidRPr="00FF0DF4" w:rsidRDefault="00FF0DF4" w:rsidP="00FF0DF4">
      <w:pPr>
        <w:rPr>
          <w:rFonts w:ascii="Times New Roman" w:eastAsia="SimSun" w:hAnsi="Times New Roman" w:cs="Times New Roman"/>
          <w:color w:val="FF0000"/>
          <w:kern w:val="0"/>
          <w:szCs w:val="21"/>
        </w:rPr>
      </w:pPr>
      <w:r w:rsidRPr="00FF0DF4">
        <w:rPr>
          <w:rFonts w:ascii="Times New Roman" w:hAnsi="Times New Roman" w:cs="Times New Roman"/>
          <w:b/>
          <w:bCs/>
          <w:color w:val="FF0000"/>
          <w:szCs w:val="21"/>
        </w:rPr>
        <w:t>Table S1</w:t>
      </w:r>
      <w:r w:rsidRPr="00FF0DF4">
        <w:rPr>
          <w:rFonts w:ascii="Times New Roman" w:hAnsi="Times New Roman" w:cs="Times New Roman"/>
          <w:color w:val="FF0000"/>
          <w:szCs w:val="21"/>
        </w:rPr>
        <w:t xml:space="preserve"> </w:t>
      </w:r>
      <w:r>
        <w:rPr>
          <w:rFonts w:ascii="Times New Roman" w:hAnsi="Times New Roman" w:cs="Times New Roman"/>
          <w:color w:val="FF0000"/>
          <w:szCs w:val="21"/>
        </w:rPr>
        <w:t>The best p</w:t>
      </w:r>
      <w:r w:rsidRPr="00FF0DF4">
        <w:rPr>
          <w:rFonts w:ascii="Times New Roman" w:hAnsi="Times New Roman" w:cs="Times New Roman"/>
          <w:color w:val="FF0000"/>
          <w:szCs w:val="21"/>
        </w:rPr>
        <w:t>hotovoltaic parameters of the PSCs based on the MAPbI</w:t>
      </w:r>
      <w:r w:rsidRPr="00FF0DF4">
        <w:rPr>
          <w:rFonts w:ascii="Times New Roman" w:hAnsi="Times New Roman" w:cs="Times New Roman"/>
          <w:color w:val="FF0000"/>
          <w:szCs w:val="21"/>
          <w:vertAlign w:val="subscript"/>
        </w:rPr>
        <w:t>3</w:t>
      </w:r>
      <w:r w:rsidRPr="00FF0DF4">
        <w:rPr>
          <w:rFonts w:ascii="Times New Roman" w:hAnsi="Times New Roman" w:cs="Times New Roman"/>
          <w:color w:val="FF0000"/>
          <w:szCs w:val="21"/>
        </w:rPr>
        <w:t xml:space="preserve"> and MAPbI</w:t>
      </w:r>
      <w:r w:rsidRPr="00FF0DF4">
        <w:rPr>
          <w:rFonts w:ascii="Times New Roman" w:hAnsi="Times New Roman" w:cs="Times New Roman"/>
          <w:color w:val="FF0000"/>
          <w:szCs w:val="21"/>
          <w:vertAlign w:val="subscript"/>
        </w:rPr>
        <w:t>3</w:t>
      </w:r>
      <w:r w:rsidRPr="00FF0DF4">
        <w:rPr>
          <w:rFonts w:ascii="Times New Roman" w:hAnsi="Times New Roman" w:cs="Times New Roman"/>
          <w:color w:val="FF0000"/>
          <w:szCs w:val="21"/>
        </w:rPr>
        <w:t>/</w:t>
      </w:r>
      <w:proofErr w:type="spellStart"/>
      <w:r w:rsidRPr="00FF0DF4">
        <w:rPr>
          <w:rFonts w:ascii="Times New Roman" w:hAnsi="Times New Roman" w:cs="Times New Roman"/>
          <w:color w:val="FF0000"/>
          <w:szCs w:val="21"/>
        </w:rPr>
        <w:t>xGQDs</w:t>
      </w:r>
      <w:proofErr w:type="spellEnd"/>
      <w:r w:rsidRPr="00FF0DF4">
        <w:rPr>
          <w:rFonts w:ascii="Times New Roman" w:hAnsi="Times New Roman" w:cs="Times New Roman"/>
          <w:color w:val="FF0000"/>
          <w:szCs w:val="21"/>
        </w:rPr>
        <w:t xml:space="preserve"> (x = 0.0005, 0.001, 0.005, and 0.01) perovskite films.</w:t>
      </w:r>
    </w:p>
    <w:tbl>
      <w:tblPr>
        <w:tblStyle w:val="21"/>
        <w:tblW w:w="4325" w:type="pct"/>
        <w:jc w:val="center"/>
        <w:tblLook w:val="06A0" w:firstRow="1" w:lastRow="0" w:firstColumn="1" w:lastColumn="0" w:noHBand="1" w:noVBand="1"/>
      </w:tblPr>
      <w:tblGrid>
        <w:gridCol w:w="2761"/>
        <w:gridCol w:w="1263"/>
        <w:gridCol w:w="288"/>
        <w:gridCol w:w="1598"/>
        <w:gridCol w:w="91"/>
        <w:gridCol w:w="1160"/>
        <w:gridCol w:w="105"/>
        <w:gridCol w:w="1317"/>
      </w:tblGrid>
      <w:tr w:rsidR="00FF0DF4" w:rsidRPr="00FF0DF4" w14:paraId="50DB07FE" w14:textId="77777777" w:rsidTr="00F0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E7425D5" w14:textId="77777777" w:rsidR="00FF0DF4" w:rsidRPr="00FF0DF4" w:rsidRDefault="00FF0DF4" w:rsidP="00F07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Sample</w:t>
            </w:r>
          </w:p>
        </w:tc>
        <w:tc>
          <w:tcPr>
            <w:tcW w:w="73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DC0CB6" w14:textId="77777777" w:rsidR="00FF0DF4" w:rsidRPr="00FF0DF4" w:rsidRDefault="00FF0DF4" w:rsidP="00F07F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proofErr w:type="spellStart"/>
            <w:r w:rsidRPr="00FF0DF4">
              <w:rPr>
                <w:rFonts w:ascii="Times New Roman" w:hAnsi="Times New Roman" w:cs="Times New Roman"/>
                <w:b w:val="0"/>
                <w:i/>
                <w:color w:val="FF0000"/>
                <w:sz w:val="21"/>
                <w:szCs w:val="21"/>
              </w:rPr>
              <w:t>V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  <w:vertAlign w:val="subscript"/>
              </w:rPr>
              <w:t>oc</w:t>
            </w:r>
            <w:proofErr w:type="spellEnd"/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 xml:space="preserve"> (V)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E05BA9" w14:textId="77777777" w:rsidR="00FF0DF4" w:rsidRPr="00FF0DF4" w:rsidRDefault="00FF0DF4" w:rsidP="00F07F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proofErr w:type="spellStart"/>
            <w:r w:rsidRPr="00FF0DF4">
              <w:rPr>
                <w:rFonts w:ascii="Times New Roman" w:hAnsi="Times New Roman" w:cs="Times New Roman"/>
                <w:b w:val="0"/>
                <w:i/>
                <w:color w:val="FF0000"/>
                <w:sz w:val="21"/>
                <w:szCs w:val="21"/>
              </w:rPr>
              <w:t>J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  <w:vertAlign w:val="subscript"/>
              </w:rPr>
              <w:t>sc</w:t>
            </w:r>
            <w:proofErr w:type="spellEnd"/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 xml:space="preserve"> (mA cm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  <w:vertAlign w:val="superscript"/>
              </w:rPr>
              <w:t>-2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)</w:t>
            </w:r>
          </w:p>
        </w:tc>
        <w:tc>
          <w:tcPr>
            <w:tcW w:w="79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94F6A" w14:textId="77777777" w:rsidR="00FF0DF4" w:rsidRPr="00FF0DF4" w:rsidRDefault="00FF0DF4" w:rsidP="00F07F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b w:val="0"/>
                <w:iCs/>
                <w:color w:val="FF0000"/>
                <w:sz w:val="21"/>
                <w:szCs w:val="21"/>
              </w:rPr>
              <w:t>FF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 xml:space="preserve"> (%)</w:t>
            </w:r>
          </w:p>
        </w:tc>
        <w:tc>
          <w:tcPr>
            <w:tcW w:w="76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87A5D" w14:textId="77777777" w:rsidR="00FF0DF4" w:rsidRPr="00FF0DF4" w:rsidRDefault="00FF0DF4" w:rsidP="00F07F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b w:val="0"/>
                <w:iCs/>
                <w:color w:val="FF0000"/>
                <w:sz w:val="21"/>
                <w:szCs w:val="21"/>
              </w:rPr>
              <w:t>PCE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 xml:space="preserve"> (%)</w:t>
            </w:r>
          </w:p>
        </w:tc>
      </w:tr>
      <w:tr w:rsidR="00FF0DF4" w:rsidRPr="00FF0DF4" w14:paraId="6C23AC5D" w14:textId="77777777" w:rsidTr="00F07F10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DCE7CAD" w14:textId="77777777" w:rsidR="00FF0DF4" w:rsidRPr="00FF0DF4" w:rsidRDefault="00FF0DF4" w:rsidP="00F07F1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MAPbI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591FE24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1.072</w:t>
            </w:r>
          </w:p>
        </w:tc>
        <w:tc>
          <w:tcPr>
            <w:tcW w:w="984" w:type="pct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CCFB0AC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22.25</w:t>
            </w:r>
          </w:p>
        </w:tc>
        <w:tc>
          <w:tcPr>
            <w:tcW w:w="676" w:type="pc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46B9B197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67.3</w:t>
            </w:r>
          </w:p>
        </w:tc>
        <w:tc>
          <w:tcPr>
            <w:tcW w:w="828" w:type="pct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5CDED87A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16.05</w:t>
            </w:r>
          </w:p>
        </w:tc>
      </w:tr>
      <w:tr w:rsidR="00FF0DF4" w:rsidRPr="00FF0DF4" w14:paraId="472EA327" w14:textId="77777777" w:rsidTr="00F07F10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F986924" w14:textId="77777777" w:rsidR="00FF0DF4" w:rsidRPr="00FF0DF4" w:rsidRDefault="00FF0DF4" w:rsidP="00F07F1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MAPbI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  <w:vertAlign w:val="subscript"/>
              </w:rPr>
              <w:t>3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/0.0005GQDs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065F93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1.134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608D478B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22.70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6FE81BB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71.0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14:paraId="0CC39B6F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18.28</w:t>
            </w:r>
          </w:p>
        </w:tc>
      </w:tr>
      <w:tr w:rsidR="00FF0DF4" w:rsidRPr="00FF0DF4" w14:paraId="6C002CDD" w14:textId="77777777" w:rsidTr="00F07F10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6335E0FD" w14:textId="77777777" w:rsidR="00FF0DF4" w:rsidRPr="00FF0DF4" w:rsidRDefault="00FF0DF4" w:rsidP="00F07F1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bookmarkStart w:id="2" w:name="_Hlk16283017"/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MAPbI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  <w:vertAlign w:val="subscript"/>
              </w:rPr>
              <w:t>3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/0.001GQDs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  <w:hideMark/>
          </w:tcPr>
          <w:p w14:paraId="2505313D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1.158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  <w:hideMark/>
          </w:tcPr>
          <w:p w14:paraId="533EB724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23.36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804D2F2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72.4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  <w:hideMark/>
          </w:tcPr>
          <w:p w14:paraId="5C1D52D9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19.59</w:t>
            </w:r>
          </w:p>
        </w:tc>
      </w:tr>
      <w:tr w:rsidR="00FF0DF4" w:rsidRPr="00FF0DF4" w14:paraId="040A786F" w14:textId="77777777" w:rsidTr="00F07F10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5DC618EA" w14:textId="77777777" w:rsidR="00FF0DF4" w:rsidRPr="00FF0DF4" w:rsidRDefault="00FF0DF4" w:rsidP="00F07F1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MAPbI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  <w:vertAlign w:val="subscript"/>
              </w:rPr>
              <w:t>3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/0.005GQDs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  <w:hideMark/>
          </w:tcPr>
          <w:p w14:paraId="13B6A1F3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1.150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  <w:hideMark/>
          </w:tcPr>
          <w:p w14:paraId="606FB20E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22.90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80EA791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70.3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  <w:hideMark/>
          </w:tcPr>
          <w:p w14:paraId="253F2F68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18.51</w:t>
            </w:r>
          </w:p>
        </w:tc>
      </w:tr>
      <w:tr w:rsidR="00FF0DF4" w:rsidRPr="00FF0DF4" w14:paraId="4892C4A3" w14:textId="77777777" w:rsidTr="00F07F10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20BAF106" w14:textId="77777777" w:rsidR="00FF0DF4" w:rsidRPr="00FF0DF4" w:rsidRDefault="00FF0DF4" w:rsidP="00F07F1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MAPbI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  <w:vertAlign w:val="subscript"/>
              </w:rPr>
              <w:t>3</w:t>
            </w:r>
            <w:r w:rsidRPr="00FF0DF4"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  <w:t>/0.01GQDs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  <w:hideMark/>
          </w:tcPr>
          <w:p w14:paraId="3EBD3D95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1.122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  <w:hideMark/>
          </w:tcPr>
          <w:p w14:paraId="7CF06520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22.49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D648153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70.4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  <w:hideMark/>
          </w:tcPr>
          <w:p w14:paraId="03C21B02" w14:textId="77777777" w:rsidR="00FF0DF4" w:rsidRPr="00FF0DF4" w:rsidRDefault="00FF0DF4" w:rsidP="00F07F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F0D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17.78</w:t>
            </w:r>
          </w:p>
        </w:tc>
      </w:tr>
      <w:bookmarkEnd w:id="2"/>
    </w:tbl>
    <w:p w14:paraId="0CF06C14" w14:textId="77777777" w:rsidR="00FF0DF4" w:rsidRPr="00FF0DF4" w:rsidRDefault="00FF0DF4" w:rsidP="00DA63EF">
      <w:pPr>
        <w:spacing w:line="360" w:lineRule="auto"/>
        <w:jc w:val="center"/>
      </w:pPr>
    </w:p>
    <w:p w14:paraId="5B4A1FAD" w14:textId="008C1105" w:rsidR="00FF0DF4" w:rsidRDefault="00FF0DF4" w:rsidP="00DA63EF">
      <w:pPr>
        <w:spacing w:line="360" w:lineRule="auto"/>
        <w:jc w:val="center"/>
      </w:pPr>
      <w:r>
        <w:br w:type="page"/>
      </w:r>
    </w:p>
    <w:p w14:paraId="05F50E36" w14:textId="77777777" w:rsidR="00525B70" w:rsidRPr="008E5F80" w:rsidRDefault="00525B70" w:rsidP="00525B70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783C24" wp14:editId="06A7FD36">
            <wp:extent cx="2503271" cy="199213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1" b="10767"/>
                    <a:stretch/>
                  </pic:blipFill>
                  <pic:spPr bwMode="auto">
                    <a:xfrm>
                      <a:off x="0" y="0"/>
                      <a:ext cx="2521211" cy="200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EE79D" w14:textId="211FA478" w:rsidR="00525B70" w:rsidRDefault="00525B70" w:rsidP="00525B7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F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Schematic diagram of the</w:t>
      </w:r>
      <w:r w:rsidRPr="00CF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energy level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optimization</w:t>
      </w:r>
      <w:r w:rsidRPr="00CF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CF578E">
        <w:rPr>
          <w:rFonts w:ascii="Times New Roman" w:hAnsi="Times New Roman" w:cs="Times New Roman"/>
          <w:color w:val="000000" w:themeColor="text1"/>
          <w:sz w:val="24"/>
          <w:szCs w:val="24"/>
        </w:rPr>
        <w:t>GQDs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6AA553" w14:textId="3B4A580C" w:rsidR="00525B70" w:rsidRDefault="00525B70" w:rsidP="00DA63EF">
      <w:pPr>
        <w:spacing w:line="360" w:lineRule="auto"/>
        <w:jc w:val="center"/>
      </w:pPr>
    </w:p>
    <w:p w14:paraId="2E208C4B" w14:textId="31B2DB1C" w:rsidR="001744B1" w:rsidRDefault="001744B1" w:rsidP="00DA63EF">
      <w:pPr>
        <w:spacing w:line="360" w:lineRule="auto"/>
        <w:jc w:val="center"/>
      </w:pPr>
    </w:p>
    <w:p w14:paraId="358C8E0D" w14:textId="6C324A22" w:rsidR="001744B1" w:rsidRDefault="001744B1" w:rsidP="00DA63EF">
      <w:pPr>
        <w:spacing w:line="360" w:lineRule="auto"/>
        <w:jc w:val="center"/>
      </w:pPr>
    </w:p>
    <w:p w14:paraId="6052EA25" w14:textId="67ED6794" w:rsidR="001744B1" w:rsidRDefault="001744B1" w:rsidP="00DA63EF">
      <w:pPr>
        <w:spacing w:line="360" w:lineRule="auto"/>
        <w:jc w:val="center"/>
      </w:pPr>
    </w:p>
    <w:p w14:paraId="19AB8650" w14:textId="644C73F7" w:rsidR="001744B1" w:rsidRDefault="001744B1" w:rsidP="00DA63EF">
      <w:pPr>
        <w:spacing w:line="360" w:lineRule="auto"/>
        <w:jc w:val="center"/>
      </w:pPr>
    </w:p>
    <w:p w14:paraId="6409C0D1" w14:textId="38391663" w:rsidR="001744B1" w:rsidRDefault="001744B1" w:rsidP="00DA63EF">
      <w:pPr>
        <w:spacing w:line="360" w:lineRule="auto"/>
        <w:jc w:val="center"/>
      </w:pPr>
    </w:p>
    <w:p w14:paraId="011C99A7" w14:textId="413F4C4C" w:rsidR="001744B1" w:rsidRDefault="001744B1" w:rsidP="00DA63EF">
      <w:pPr>
        <w:spacing w:line="360" w:lineRule="auto"/>
        <w:jc w:val="center"/>
      </w:pPr>
    </w:p>
    <w:p w14:paraId="345ED508" w14:textId="351F558B" w:rsidR="001744B1" w:rsidRDefault="001744B1" w:rsidP="00DA63EF">
      <w:pPr>
        <w:spacing w:line="360" w:lineRule="auto"/>
        <w:jc w:val="center"/>
      </w:pPr>
    </w:p>
    <w:p w14:paraId="0E2193D6" w14:textId="39312028" w:rsidR="001744B1" w:rsidRDefault="001744B1" w:rsidP="00DA63EF">
      <w:pPr>
        <w:spacing w:line="360" w:lineRule="auto"/>
        <w:jc w:val="center"/>
      </w:pPr>
    </w:p>
    <w:p w14:paraId="2CAB66D7" w14:textId="46950472" w:rsidR="001744B1" w:rsidRDefault="001744B1" w:rsidP="00DA63EF">
      <w:pPr>
        <w:spacing w:line="360" w:lineRule="auto"/>
        <w:jc w:val="center"/>
      </w:pPr>
    </w:p>
    <w:p w14:paraId="16C25562" w14:textId="77777777" w:rsidR="001744B1" w:rsidRDefault="001744B1" w:rsidP="001744B1">
      <w:pPr>
        <w:spacing w:line="360" w:lineRule="auto"/>
        <w:rPr>
          <w:rFonts w:hint="eastAsia"/>
        </w:rPr>
      </w:pPr>
    </w:p>
    <w:p w14:paraId="08867E4A" w14:textId="2AA79EE5" w:rsidR="001744B1" w:rsidRDefault="001744B1" w:rsidP="00DA63EF">
      <w:pPr>
        <w:spacing w:line="360" w:lineRule="auto"/>
        <w:jc w:val="center"/>
      </w:pPr>
    </w:p>
    <w:p w14:paraId="7B879200" w14:textId="1AF90FE6" w:rsidR="001744B1" w:rsidRDefault="001744B1" w:rsidP="00DA63EF">
      <w:pPr>
        <w:spacing w:line="360" w:lineRule="auto"/>
        <w:jc w:val="center"/>
      </w:pPr>
    </w:p>
    <w:p w14:paraId="431E8842" w14:textId="77777777" w:rsidR="001744B1" w:rsidRPr="00574579" w:rsidRDefault="001744B1" w:rsidP="001744B1">
      <w:pPr>
        <w:pStyle w:val="Mabstract"/>
        <w:spacing w:before="0" w:line="240" w:lineRule="auto"/>
        <w:ind w:left="0" w:right="0"/>
        <w:rPr>
          <w:szCs w:val="24"/>
        </w:rPr>
      </w:pPr>
      <w:r w:rsidRPr="00574579">
        <w:rPr>
          <w:b/>
          <w:bCs/>
          <w:szCs w:val="24"/>
        </w:rPr>
        <w:t>Table S</w:t>
      </w:r>
      <w:r>
        <w:rPr>
          <w:b/>
          <w:bCs/>
          <w:szCs w:val="24"/>
        </w:rPr>
        <w:t>2</w:t>
      </w:r>
      <w:r w:rsidRPr="00574579">
        <w:rPr>
          <w:szCs w:val="24"/>
        </w:rPr>
        <w:t xml:space="preserve"> The trap-filled limit voltage, trap-state density and hole mobility determined from SCLC curves.</w:t>
      </w:r>
    </w:p>
    <w:p w14:paraId="055E333B" w14:textId="77777777" w:rsidR="001744B1" w:rsidRPr="00574579" w:rsidRDefault="001744B1" w:rsidP="001744B1">
      <w:pPr>
        <w:pStyle w:val="Mabstract"/>
        <w:spacing w:before="0" w:line="240" w:lineRule="auto"/>
        <w:ind w:left="0" w:right="0"/>
        <w:rPr>
          <w:szCs w:val="24"/>
        </w:rPr>
      </w:pPr>
    </w:p>
    <w:tbl>
      <w:tblPr>
        <w:tblW w:w="94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181"/>
        <w:gridCol w:w="2254"/>
        <w:gridCol w:w="2254"/>
        <w:gridCol w:w="2134"/>
      </w:tblGrid>
      <w:tr w:rsidR="001744B1" w:rsidRPr="00574579" w14:paraId="601C4F31" w14:textId="77777777" w:rsidTr="00123CE1">
        <w:trPr>
          <w:trHeight w:val="37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01D74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Samples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69566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sz w:val="24"/>
                <w:szCs w:val="24"/>
              </w:rPr>
              <w:t>MAPbI</w:t>
            </w:r>
            <w:r w:rsidRPr="005745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E54FA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sz w:val="24"/>
                <w:szCs w:val="24"/>
              </w:rPr>
              <w:t>MAPbI</w:t>
            </w:r>
            <w:r w:rsidRPr="005745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4579">
              <w:rPr>
                <w:rFonts w:ascii="Times New Roman" w:hAnsi="Times New Roman" w:cs="Times New Roman"/>
                <w:sz w:val="24"/>
                <w:szCs w:val="24"/>
              </w:rPr>
              <w:t>/0.001GQDs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EDC74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sz w:val="24"/>
                <w:szCs w:val="24"/>
              </w:rPr>
              <w:t>MAPbI</w:t>
            </w:r>
            <w:r w:rsidRPr="005745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4579">
              <w:rPr>
                <w:rFonts w:ascii="Times New Roman" w:hAnsi="Times New Roman" w:cs="Times New Roman"/>
                <w:sz w:val="24"/>
                <w:szCs w:val="24"/>
              </w:rPr>
              <w:t>/0.005GQDs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C1B9D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sz w:val="24"/>
                <w:szCs w:val="24"/>
              </w:rPr>
              <w:t>MAPbI</w:t>
            </w:r>
            <w:r w:rsidRPr="005745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74579">
              <w:rPr>
                <w:rFonts w:ascii="Times New Roman" w:hAnsi="Times New Roman" w:cs="Times New Roman"/>
                <w:sz w:val="24"/>
                <w:szCs w:val="24"/>
              </w:rPr>
              <w:t>/0.01GQDs</w:t>
            </w:r>
          </w:p>
        </w:tc>
      </w:tr>
      <w:tr w:rsidR="001744B1" w:rsidRPr="00574579" w14:paraId="4CBB75AF" w14:textId="77777777" w:rsidTr="00123CE1">
        <w:trPr>
          <w:trHeight w:val="378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3916FFFD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TFL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[V]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42676A0C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45C1FBC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2D3A2CD1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0.36</w:t>
            </w:r>
          </w:p>
        </w:tc>
        <w:tc>
          <w:tcPr>
            <w:tcW w:w="2134" w:type="dxa"/>
            <w:tcBorders>
              <w:bottom w:val="nil"/>
            </w:tcBorders>
            <w:shd w:val="clear" w:color="auto" w:fill="auto"/>
            <w:vAlign w:val="center"/>
          </w:tcPr>
          <w:p w14:paraId="2BD60646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0.84</w:t>
            </w:r>
          </w:p>
        </w:tc>
      </w:tr>
      <w:tr w:rsidR="001744B1" w:rsidRPr="00574579" w14:paraId="3E67FBDB" w14:textId="77777777" w:rsidTr="00123CE1">
        <w:trPr>
          <w:trHeight w:val="37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E94A3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45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t</w:t>
            </w:r>
            <w:proofErr w:type="spellEnd"/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[cm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-3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B917CB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1.57×10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293C6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7.08×10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BE248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5.10×10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A558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1.19×10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16</w:t>
            </w:r>
          </w:p>
        </w:tc>
      </w:tr>
      <w:tr w:rsidR="001744B1" w:rsidRPr="00574579" w14:paraId="3C7038A0" w14:textId="77777777" w:rsidTr="00123CE1">
        <w:trPr>
          <w:trHeight w:val="378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635E710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μ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[cm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4CEE16DF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3.84×10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64F03C7B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8.56×10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6F4D21DB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4.40×10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134" w:type="dxa"/>
            <w:tcBorders>
              <w:top w:val="nil"/>
            </w:tcBorders>
            <w:shd w:val="clear" w:color="auto" w:fill="auto"/>
            <w:vAlign w:val="center"/>
          </w:tcPr>
          <w:p w14:paraId="7D18D354" w14:textId="77777777" w:rsidR="001744B1" w:rsidRPr="00574579" w:rsidRDefault="001744B1" w:rsidP="00123C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9">
              <w:rPr>
                <w:rFonts w:ascii="Times New Roman" w:hAnsi="Times New Roman" w:cs="Times New Roman"/>
                <w:bCs/>
                <w:sz w:val="24"/>
                <w:szCs w:val="24"/>
              </w:rPr>
              <w:t>3.50×10</w:t>
            </w:r>
            <w:r w:rsidRPr="005745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-3</w:t>
            </w:r>
          </w:p>
        </w:tc>
      </w:tr>
    </w:tbl>
    <w:p w14:paraId="5FE3B4CF" w14:textId="77777777" w:rsidR="001744B1" w:rsidRPr="00525B70" w:rsidRDefault="001744B1" w:rsidP="00DA63EF">
      <w:pPr>
        <w:spacing w:line="360" w:lineRule="auto"/>
        <w:jc w:val="center"/>
        <w:rPr>
          <w:rFonts w:hint="eastAsia"/>
        </w:rPr>
      </w:pPr>
    </w:p>
    <w:p w14:paraId="3229BAEE" w14:textId="07D3EC66" w:rsidR="00525B70" w:rsidRDefault="00525B70" w:rsidP="00DA63EF">
      <w:pPr>
        <w:spacing w:line="360" w:lineRule="auto"/>
        <w:jc w:val="center"/>
      </w:pPr>
      <w:r>
        <w:br w:type="page"/>
      </w:r>
    </w:p>
    <w:p w14:paraId="0A071778" w14:textId="7A5536F1" w:rsidR="003C4F0D" w:rsidRDefault="003C4F0D" w:rsidP="00DA63EF">
      <w:pPr>
        <w:spacing w:line="360" w:lineRule="auto"/>
        <w:jc w:val="center"/>
      </w:pPr>
      <w:r w:rsidRPr="003C4F0D">
        <w:rPr>
          <w:noProof/>
        </w:rPr>
        <w:lastRenderedPageBreak/>
        <w:drawing>
          <wp:inline distT="0" distB="0" distL="0" distR="0" wp14:anchorId="6DEB06E2" wp14:editId="46008393">
            <wp:extent cx="5940000" cy="5153862"/>
            <wp:effectExtent l="0" t="0" r="3810" b="8890"/>
            <wp:docPr id="1" name="图片 1" descr="F:\20-学生\范心怡\量子点修饰钙钛矿文章\量子点文章图---5月重画\zuhe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-学生\范心怡\量子点修饰钙钛矿文章\量子点文章图---5月重画\zuhe-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7" b="4051"/>
                    <a:stretch/>
                  </pic:blipFill>
                  <pic:spPr bwMode="auto">
                    <a:xfrm>
                      <a:off x="0" y="0"/>
                      <a:ext cx="5940000" cy="515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B2D61" w14:textId="3EA4A97E" w:rsidR="000050FE" w:rsidRDefault="00446E05" w:rsidP="00C04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</w:t>
      </w:r>
      <w:r w:rsidR="00E15379" w:rsidRPr="00E20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525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1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379" w:rsidRPr="00E1537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15379" w:rsidRPr="00E1537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he </w:t>
      </w:r>
      <w:r w:rsidR="00E15379" w:rsidRPr="00E15379">
        <w:rPr>
          <w:rFonts w:ascii="Times New Roman" w:hAnsi="Times New Roman" w:cs="Times New Roman"/>
          <w:color w:val="000000"/>
          <w:sz w:val="24"/>
          <w:szCs w:val="24"/>
        </w:rPr>
        <w:t>evolution of contac</w:t>
      </w:r>
      <w:r w:rsidR="00DA63EF">
        <w:rPr>
          <w:rFonts w:ascii="Times New Roman" w:hAnsi="Times New Roman" w:cs="Times New Roman"/>
          <w:sz w:val="24"/>
        </w:rPr>
        <w:t>t angles on</w:t>
      </w:r>
      <w:r w:rsidR="00E15379" w:rsidRPr="00485438">
        <w:rPr>
          <w:rFonts w:ascii="Times New Roman" w:hAnsi="Times New Roman" w:cs="Times New Roman"/>
          <w:sz w:val="24"/>
        </w:rPr>
        <w:t xml:space="preserve"> </w:t>
      </w:r>
      <w:r w:rsidR="00E15379">
        <w:rPr>
          <w:rFonts w:ascii="Times New Roman" w:hAnsi="Times New Roman" w:cs="Times New Roman"/>
          <w:sz w:val="24"/>
        </w:rPr>
        <w:t>various</w:t>
      </w:r>
      <w:r w:rsidR="00E15379" w:rsidRPr="00485438">
        <w:rPr>
          <w:rFonts w:ascii="Times New Roman" w:hAnsi="Times New Roman" w:cs="Times New Roman"/>
          <w:sz w:val="24"/>
        </w:rPr>
        <w:t xml:space="preserve"> perovskite films</w:t>
      </w:r>
      <w:r w:rsidR="00E15379">
        <w:rPr>
          <w:rFonts w:ascii="Times New Roman" w:hAnsi="Times New Roman" w:cs="Times New Roman"/>
          <w:sz w:val="24"/>
        </w:rPr>
        <w:t xml:space="preserve">: (a) </w:t>
      </w:r>
      <w:r w:rsidR="00E15379" w:rsidRPr="00A012AA">
        <w:rPr>
          <w:rFonts w:ascii="Times New Roman" w:hAnsi="Times New Roman" w:cs="Times New Roman"/>
          <w:sz w:val="24"/>
          <w:szCs w:val="24"/>
        </w:rPr>
        <w:t>MAPbI</w:t>
      </w:r>
      <w:r w:rsidR="00E15379" w:rsidRPr="00A01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5379">
        <w:rPr>
          <w:rFonts w:ascii="Times New Roman" w:hAnsi="Times New Roman" w:cs="Times New Roman"/>
          <w:sz w:val="24"/>
          <w:szCs w:val="24"/>
        </w:rPr>
        <w:t xml:space="preserve">, (b) </w:t>
      </w:r>
      <w:bookmarkStart w:id="3" w:name="OLE_LINK9"/>
      <w:bookmarkStart w:id="4" w:name="OLE_LINK10"/>
      <w:r w:rsidR="00E15379" w:rsidRPr="00A012AA">
        <w:rPr>
          <w:rFonts w:ascii="Times New Roman" w:hAnsi="Times New Roman" w:cs="Times New Roman"/>
          <w:sz w:val="24"/>
          <w:szCs w:val="24"/>
        </w:rPr>
        <w:t>MAPbI</w:t>
      </w:r>
      <w:r w:rsidR="00E15379" w:rsidRPr="00A01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5379" w:rsidRPr="00A012AA">
        <w:rPr>
          <w:rFonts w:ascii="Times New Roman" w:hAnsi="Times New Roman" w:cs="Times New Roman"/>
          <w:sz w:val="24"/>
          <w:szCs w:val="24"/>
        </w:rPr>
        <w:t>/0.001</w:t>
      </w:r>
      <w:r w:rsidR="00E15379">
        <w:rPr>
          <w:rFonts w:ascii="Times New Roman" w:hAnsi="Times New Roman" w:cs="Times New Roman"/>
          <w:sz w:val="24"/>
          <w:szCs w:val="24"/>
        </w:rPr>
        <w:t xml:space="preserve"> </w:t>
      </w:r>
      <w:r w:rsidR="00E15379" w:rsidRPr="00A012AA">
        <w:rPr>
          <w:rFonts w:ascii="Times New Roman" w:hAnsi="Times New Roman" w:cs="Times New Roman"/>
          <w:sz w:val="24"/>
          <w:szCs w:val="24"/>
        </w:rPr>
        <w:t xml:space="preserve">GQDs, </w:t>
      </w:r>
      <w:r w:rsidR="00E15379">
        <w:rPr>
          <w:rFonts w:ascii="Times New Roman" w:hAnsi="Times New Roman" w:cs="Times New Roman"/>
          <w:sz w:val="24"/>
          <w:szCs w:val="24"/>
        </w:rPr>
        <w:t xml:space="preserve">(c) </w:t>
      </w:r>
      <w:r w:rsidR="00E15379" w:rsidRPr="00A012AA">
        <w:rPr>
          <w:rFonts w:ascii="Times New Roman" w:hAnsi="Times New Roman" w:cs="Times New Roman"/>
          <w:sz w:val="24"/>
          <w:szCs w:val="24"/>
        </w:rPr>
        <w:t>MAPbI</w:t>
      </w:r>
      <w:r w:rsidR="00E15379" w:rsidRPr="00A01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5379" w:rsidRPr="00A012AA">
        <w:rPr>
          <w:rFonts w:ascii="Times New Roman" w:hAnsi="Times New Roman" w:cs="Times New Roman"/>
          <w:sz w:val="24"/>
          <w:szCs w:val="24"/>
        </w:rPr>
        <w:t>/0.005</w:t>
      </w:r>
      <w:r w:rsidR="00E15379">
        <w:rPr>
          <w:rFonts w:ascii="Times New Roman" w:hAnsi="Times New Roman" w:cs="Times New Roman"/>
          <w:sz w:val="24"/>
          <w:szCs w:val="24"/>
        </w:rPr>
        <w:t xml:space="preserve"> </w:t>
      </w:r>
      <w:r w:rsidR="00E15379" w:rsidRPr="00A012AA">
        <w:rPr>
          <w:rFonts w:ascii="Times New Roman" w:hAnsi="Times New Roman" w:cs="Times New Roman"/>
          <w:sz w:val="24"/>
          <w:szCs w:val="24"/>
        </w:rPr>
        <w:t>GQDs,</w:t>
      </w:r>
      <w:r w:rsidR="00E15379">
        <w:rPr>
          <w:rFonts w:ascii="Times New Roman" w:hAnsi="Times New Roman" w:cs="Times New Roman"/>
          <w:sz w:val="24"/>
          <w:szCs w:val="24"/>
        </w:rPr>
        <w:t xml:space="preserve"> and (d) </w:t>
      </w:r>
      <w:r w:rsidR="00E15379" w:rsidRPr="00A012AA">
        <w:rPr>
          <w:rFonts w:ascii="Times New Roman" w:hAnsi="Times New Roman" w:cs="Times New Roman"/>
          <w:sz w:val="24"/>
          <w:szCs w:val="24"/>
        </w:rPr>
        <w:t>MAPbI</w:t>
      </w:r>
      <w:r w:rsidR="00E15379" w:rsidRPr="00A01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5379" w:rsidRPr="00A012AA">
        <w:rPr>
          <w:rFonts w:ascii="Times New Roman" w:hAnsi="Times New Roman" w:cs="Times New Roman"/>
          <w:sz w:val="24"/>
          <w:szCs w:val="24"/>
        </w:rPr>
        <w:t>/0.01</w:t>
      </w:r>
      <w:r w:rsidR="00E15379">
        <w:rPr>
          <w:rFonts w:ascii="Times New Roman" w:hAnsi="Times New Roman" w:cs="Times New Roman"/>
          <w:sz w:val="24"/>
          <w:szCs w:val="24"/>
        </w:rPr>
        <w:t xml:space="preserve"> </w:t>
      </w:r>
      <w:r w:rsidR="00E15379" w:rsidRPr="00A012AA">
        <w:rPr>
          <w:rFonts w:ascii="Times New Roman" w:hAnsi="Times New Roman" w:cs="Times New Roman"/>
          <w:sz w:val="24"/>
          <w:szCs w:val="24"/>
        </w:rPr>
        <w:t xml:space="preserve">GQDs </w:t>
      </w:r>
      <w:bookmarkEnd w:id="3"/>
      <w:bookmarkEnd w:id="4"/>
      <w:r w:rsidR="00E15379" w:rsidRPr="00A012AA">
        <w:rPr>
          <w:rFonts w:ascii="Times New Roman" w:hAnsi="Times New Roman" w:cs="Times New Roman"/>
          <w:sz w:val="24"/>
          <w:szCs w:val="24"/>
        </w:rPr>
        <w:t>samples, respectively.</w:t>
      </w:r>
    </w:p>
    <w:p w14:paraId="488E937A" w14:textId="77777777" w:rsidR="001744B1" w:rsidRPr="00574579" w:rsidRDefault="001744B1" w:rsidP="001744B1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sectPr w:rsidR="001744B1" w:rsidRPr="00574579" w:rsidSect="00606B47">
      <w:pgSz w:w="11906" w:h="16838" w:code="9"/>
      <w:pgMar w:top="992" w:right="992" w:bottom="992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E9D7" w14:textId="77777777" w:rsidR="00860B82" w:rsidRDefault="00860B82" w:rsidP="003428F9">
      <w:r>
        <w:separator/>
      </w:r>
    </w:p>
  </w:endnote>
  <w:endnote w:type="continuationSeparator" w:id="0">
    <w:p w14:paraId="1FC25B04" w14:textId="77777777" w:rsidR="00860B82" w:rsidRDefault="00860B82" w:rsidP="0034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03DB" w14:textId="77777777" w:rsidR="00860B82" w:rsidRDefault="00860B82" w:rsidP="003428F9">
      <w:r>
        <w:separator/>
      </w:r>
    </w:p>
  </w:footnote>
  <w:footnote w:type="continuationSeparator" w:id="0">
    <w:p w14:paraId="08594917" w14:textId="77777777" w:rsidR="00860B82" w:rsidRDefault="00860B82" w:rsidP="0034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73"/>
    <w:rsid w:val="000050FE"/>
    <w:rsid w:val="00041197"/>
    <w:rsid w:val="000B0C80"/>
    <w:rsid w:val="000D45DB"/>
    <w:rsid w:val="001744B1"/>
    <w:rsid w:val="00186FCF"/>
    <w:rsid w:val="001D6DC2"/>
    <w:rsid w:val="00273896"/>
    <w:rsid w:val="002B7A6E"/>
    <w:rsid w:val="00305081"/>
    <w:rsid w:val="003372D3"/>
    <w:rsid w:val="00341B88"/>
    <w:rsid w:val="003428F9"/>
    <w:rsid w:val="00371AFD"/>
    <w:rsid w:val="003754A2"/>
    <w:rsid w:val="003A221B"/>
    <w:rsid w:val="003C4F0D"/>
    <w:rsid w:val="00446E05"/>
    <w:rsid w:val="004E1472"/>
    <w:rsid w:val="005175D8"/>
    <w:rsid w:val="00525B70"/>
    <w:rsid w:val="00540541"/>
    <w:rsid w:val="00574579"/>
    <w:rsid w:val="005C75BB"/>
    <w:rsid w:val="00606B47"/>
    <w:rsid w:val="00637231"/>
    <w:rsid w:val="00694072"/>
    <w:rsid w:val="006A2601"/>
    <w:rsid w:val="006B401C"/>
    <w:rsid w:val="006D3CDB"/>
    <w:rsid w:val="006F2B6B"/>
    <w:rsid w:val="007D7B73"/>
    <w:rsid w:val="00830796"/>
    <w:rsid w:val="00860B82"/>
    <w:rsid w:val="008C1A7E"/>
    <w:rsid w:val="008C7BD8"/>
    <w:rsid w:val="00914069"/>
    <w:rsid w:val="0095192A"/>
    <w:rsid w:val="009E25C1"/>
    <w:rsid w:val="00A31A04"/>
    <w:rsid w:val="00A32AD6"/>
    <w:rsid w:val="00A718A3"/>
    <w:rsid w:val="00A93429"/>
    <w:rsid w:val="00AE4CEE"/>
    <w:rsid w:val="00AF138E"/>
    <w:rsid w:val="00AF139B"/>
    <w:rsid w:val="00B92D24"/>
    <w:rsid w:val="00C045EF"/>
    <w:rsid w:val="00C63473"/>
    <w:rsid w:val="00C91CCE"/>
    <w:rsid w:val="00CA023A"/>
    <w:rsid w:val="00CA30A3"/>
    <w:rsid w:val="00CF578E"/>
    <w:rsid w:val="00D20D0C"/>
    <w:rsid w:val="00D376B5"/>
    <w:rsid w:val="00DA20FC"/>
    <w:rsid w:val="00DA4E65"/>
    <w:rsid w:val="00DA63EF"/>
    <w:rsid w:val="00DB4A26"/>
    <w:rsid w:val="00E15379"/>
    <w:rsid w:val="00E20B73"/>
    <w:rsid w:val="00FC7E65"/>
    <w:rsid w:val="00FD508B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B65D8"/>
  <w15:docId w15:val="{6F3F99A7-EB91-48E1-BEA5-C63DD7C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8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28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28F9"/>
    <w:rPr>
      <w:sz w:val="18"/>
      <w:szCs w:val="18"/>
    </w:rPr>
  </w:style>
  <w:style w:type="paragraph" w:customStyle="1" w:styleId="Maddress">
    <w:name w:val="M_address"/>
    <w:basedOn w:val="a"/>
    <w:qFormat/>
    <w:rsid w:val="00E20B73"/>
    <w:pPr>
      <w:widowControl/>
      <w:spacing w:before="240" w:line="340" w:lineRule="atLeast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Titel">
    <w:name w:val="M_Titel"/>
    <w:basedOn w:val="a"/>
    <w:qFormat/>
    <w:rsid w:val="00E20B73"/>
    <w:pPr>
      <w:widowControl/>
      <w:spacing w:before="240"/>
      <w:jc w:val="left"/>
    </w:pPr>
    <w:rPr>
      <w:rFonts w:ascii="Times New Roman" w:eastAsia="Times New Roman" w:hAnsi="Times New Roman" w:cs="Times New Roman"/>
      <w:b/>
      <w:color w:val="000000"/>
      <w:kern w:val="0"/>
      <w:sz w:val="36"/>
      <w:szCs w:val="20"/>
      <w:lang w:eastAsia="de-DE"/>
    </w:rPr>
  </w:style>
  <w:style w:type="paragraph" w:customStyle="1" w:styleId="Mauthor">
    <w:name w:val="M_author"/>
    <w:basedOn w:val="a"/>
    <w:qFormat/>
    <w:rsid w:val="00E20B73"/>
    <w:pPr>
      <w:widowControl/>
      <w:spacing w:before="240" w:after="240" w:line="340" w:lineRule="atLeast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val="it-IT" w:eastAsia="de-DE"/>
    </w:rPr>
  </w:style>
  <w:style w:type="paragraph" w:customStyle="1" w:styleId="IOPTitle">
    <w:name w:val="IOPTitle"/>
    <w:basedOn w:val="a"/>
    <w:link w:val="IOPTitleChar"/>
    <w:qFormat/>
    <w:rsid w:val="00E20B73"/>
    <w:pPr>
      <w:widowControl/>
      <w:spacing w:after="520" w:line="259" w:lineRule="auto"/>
      <w:jc w:val="left"/>
    </w:pPr>
    <w:rPr>
      <w:rFonts w:ascii="Calibri" w:hAnsi="Calibri" w:cs="Times New Roman"/>
      <w:b/>
      <w:kern w:val="0"/>
      <w:sz w:val="48"/>
      <w:szCs w:val="48"/>
      <w:lang w:val="en-GB" w:eastAsia="en-US"/>
    </w:rPr>
  </w:style>
  <w:style w:type="character" w:customStyle="1" w:styleId="IOPTitleChar">
    <w:name w:val="IOPTitle Char"/>
    <w:link w:val="IOPTitle"/>
    <w:rsid w:val="00E20B73"/>
    <w:rPr>
      <w:rFonts w:ascii="Calibri" w:hAnsi="Calibri" w:cs="Times New Roman"/>
      <w:b/>
      <w:kern w:val="0"/>
      <w:sz w:val="48"/>
      <w:szCs w:val="48"/>
      <w:lang w:val="en-GB" w:eastAsia="en-US"/>
    </w:rPr>
  </w:style>
  <w:style w:type="paragraph" w:customStyle="1" w:styleId="Mabstract">
    <w:name w:val="M_abstract"/>
    <w:basedOn w:val="a"/>
    <w:qFormat/>
    <w:rsid w:val="00574579"/>
    <w:pPr>
      <w:widowControl/>
      <w:spacing w:before="240" w:line="340" w:lineRule="atLeast"/>
      <w:ind w:left="510" w:right="510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table" w:customStyle="1" w:styleId="21">
    <w:name w:val="无格式表格 21"/>
    <w:basedOn w:val="a1"/>
    <w:uiPriority w:val="42"/>
    <w:rsid w:val="00FF0DF4"/>
    <w:pPr>
      <w:spacing w:after="160" w:line="259" w:lineRule="auto"/>
    </w:pPr>
    <w:rPr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E224-C043-4DBB-A4C3-87607B15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Jia Liang</cp:lastModifiedBy>
  <cp:revision>13</cp:revision>
  <dcterms:created xsi:type="dcterms:W3CDTF">2022-03-31T06:53:00Z</dcterms:created>
  <dcterms:modified xsi:type="dcterms:W3CDTF">2022-10-02T15:09:00Z</dcterms:modified>
</cp:coreProperties>
</file>